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CAE25" w14:textId="77777777" w:rsidR="00557CE7" w:rsidRDefault="00557CE7">
      <w:pPr>
        <w:spacing w:after="0" w:line="240" w:lineRule="auto"/>
        <w:rPr>
          <w:rFonts w:ascii="Calibri" w:hAnsi="Calibri" w:cs="Calibri"/>
          <w:b/>
        </w:rPr>
      </w:pPr>
    </w:p>
    <w:p w14:paraId="068DA3F6" w14:textId="41AE1872" w:rsidR="00873D4F" w:rsidRDefault="009B2B09" w:rsidP="00873D4F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</w:t>
      </w:r>
      <w:r w:rsidR="00873D4F" w:rsidRPr="00921DB2">
        <w:rPr>
          <w:rFonts w:ascii="Calibri" w:hAnsi="Calibri" w:cs="Calibri"/>
          <w:b/>
        </w:rPr>
        <w:t>UB-ALLEGATO A - Tabella Indicatori MATTM</w:t>
      </w:r>
    </w:p>
    <w:p w14:paraId="26453B07" w14:textId="0A4404B4" w:rsidR="004B17DF" w:rsidRPr="00921DB2" w:rsidRDefault="004B17DF" w:rsidP="00873D4F">
      <w:pPr>
        <w:jc w:val="center"/>
        <w:rPr>
          <w:rFonts w:ascii="Calibri" w:hAnsi="Calibri" w:cs="Calibri"/>
          <w:b/>
        </w:rPr>
      </w:pPr>
      <w:r w:rsidRPr="004B17DF">
        <w:rPr>
          <w:rFonts w:ascii="Calibri" w:hAnsi="Calibri" w:cs="Calibri"/>
          <w:b/>
          <w:i/>
        </w:rPr>
        <w:t>[Su carta intestata dell’Ordinante]</w:t>
      </w:r>
    </w:p>
    <w:p w14:paraId="60357FEF" w14:textId="77777777" w:rsidR="00C97FB0" w:rsidRDefault="00C97FB0" w:rsidP="00C97FB0">
      <w:pPr>
        <w:jc w:val="center"/>
        <w:rPr>
          <w:rFonts w:cs="Arial"/>
          <w:sz w:val="21"/>
          <w:szCs w:val="21"/>
        </w:rPr>
      </w:pPr>
    </w:p>
    <w:tbl>
      <w:tblPr>
        <w:tblW w:w="15310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835"/>
        <w:gridCol w:w="3544"/>
        <w:gridCol w:w="4536"/>
      </w:tblGrid>
      <w:tr w:rsidR="00C97FB0" w:rsidRPr="00C97FB0" w14:paraId="08FBCB8D" w14:textId="77777777" w:rsidTr="00B309FE">
        <w:trPr>
          <w:tblHeader/>
        </w:trPr>
        <w:tc>
          <w:tcPr>
            <w:tcW w:w="4395" w:type="dxa"/>
            <w:shd w:val="clear" w:color="auto" w:fill="D9D9D9" w:themeFill="background1" w:themeFillShade="D9"/>
          </w:tcPr>
          <w:p w14:paraId="7F79E3EA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2297E0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Indicatore MATTM*</w:t>
            </w:r>
          </w:p>
          <w:p w14:paraId="0CD462F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4AE4FC0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4DA4F9F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*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L’Operazione risulta </w:t>
            </w:r>
            <w:proofErr w:type="spellStart"/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eligible</w:t>
            </w:r>
            <w:proofErr w:type="spellEnd"/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se: la differenza di cui alla Colonna (C) risulta (i) conforme alle indicazioni contenute in tabella per ciascun indicatore, (ii) almeno uno degli indicatori risulta migliorativo in misura almeno pari al 20%, e (iii) nessuno dei rimanenti indicatori risulti peggiorativo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D163F16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697F1E5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Colonna (A)</w:t>
            </w:r>
          </w:p>
          <w:p w14:paraId="4CBB9FEF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54F373BB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1AABB9F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Situazione esistente precedentemente alla realizzazione dell’Operazione</w:t>
            </w:r>
          </w:p>
          <w:p w14:paraId="4909AA7E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(per attività esistenti)</w:t>
            </w:r>
          </w:p>
          <w:p w14:paraId="12DE9059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</w:p>
          <w:p w14:paraId="7F54615F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OPPURE</w:t>
            </w:r>
          </w:p>
          <w:p w14:paraId="63287ECF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FB838FE" w14:textId="3F2E4E9C" w:rsidR="00C97FB0" w:rsidRPr="00C97FB0" w:rsidRDefault="00C97FB0" w:rsidP="008F3259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Situazione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standard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di settore (per attività nuove)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196F4BDB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5DBDD36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Colonna (B)</w:t>
            </w:r>
          </w:p>
          <w:p w14:paraId="5663A46E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47A7E887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F905159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Situazione prevista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post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realizzazione dell’Operazione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2E8D6FB1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302A129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Colonna (C) = (B) – (A) </w:t>
            </w:r>
          </w:p>
          <w:p w14:paraId="16ED5CCA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2B0D8262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04FC1A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Differenza, espressa in percentuale, tra situazione prevista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post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realizzazione dell’Operazione</w:t>
            </w:r>
          </w:p>
          <w:p w14:paraId="4EC49AD3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7748038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</w:t>
            </w:r>
          </w:p>
          <w:p w14:paraId="7B67CFF0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8A12418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Situazione esistente precedentemente alla realizzazione dell’Operazione/Situazione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standard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di settore </w:t>
            </w:r>
          </w:p>
          <w:p w14:paraId="38F29AF0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4194869" w14:textId="6981E853" w:rsidR="00C97FB0" w:rsidRPr="00C97FB0" w:rsidRDefault="00C97FB0" w:rsidP="008F3259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[%]</w:t>
            </w:r>
          </w:p>
        </w:tc>
      </w:tr>
      <w:tr w:rsidR="00C97FB0" w:rsidRPr="00C97FB0" w14:paraId="00DFB351" w14:textId="77777777" w:rsidTr="00B309FE">
        <w:trPr>
          <w:trHeight w:val="1623"/>
        </w:trPr>
        <w:tc>
          <w:tcPr>
            <w:tcW w:w="4395" w:type="dxa"/>
            <w:shd w:val="clear" w:color="auto" w:fill="auto"/>
          </w:tcPr>
          <w:p w14:paraId="3EBC86D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618CA1F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Carbon footprint</w:t>
            </w:r>
          </w:p>
          <w:p w14:paraId="6B2D863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Emissioni di CO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equivalente (calcolando tutti i gas serra convertiti in CO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) espressa in peso per unità di prodotto, per anno </w:t>
            </w:r>
          </w:p>
          <w:p w14:paraId="5B85355E" w14:textId="37BAAB2B" w:rsidR="00C97FB0" w:rsidRPr="00C97FB0" w:rsidRDefault="00C97FB0" w:rsidP="008F3259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[gCO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eq/unità di prodotto/anno]</w:t>
            </w:r>
          </w:p>
        </w:tc>
        <w:tc>
          <w:tcPr>
            <w:tcW w:w="2835" w:type="dxa"/>
            <w:shd w:val="clear" w:color="auto" w:fill="auto"/>
          </w:tcPr>
          <w:p w14:paraId="205D31D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324CCA2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46F4595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7134AC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A28594F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68F6FB3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660FA2A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highlight w:val="yellow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lastRenderedPageBreak/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</w:t>
            </w: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  <w:t xml:space="preserve">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non può essere superiore a 0.</w:t>
            </w:r>
          </w:p>
        </w:tc>
      </w:tr>
      <w:tr w:rsidR="00C97FB0" w:rsidRPr="00C97FB0" w14:paraId="29CE9A5D" w14:textId="77777777" w:rsidTr="00B309FE">
        <w:tc>
          <w:tcPr>
            <w:tcW w:w="4395" w:type="dxa"/>
            <w:shd w:val="clear" w:color="auto" w:fill="auto"/>
          </w:tcPr>
          <w:p w14:paraId="20EEEB5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8C6417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Water footprint</w:t>
            </w:r>
          </w:p>
          <w:p w14:paraId="38C9682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Consumo di acqua espresso in volume per unità di prodotto, per anno</w:t>
            </w:r>
          </w:p>
          <w:p w14:paraId="148C178B" w14:textId="3F63C9B1" w:rsidR="00C97FB0" w:rsidRPr="00C97FB0" w:rsidRDefault="00C97FB0" w:rsidP="008F3259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[m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H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0/unità di prodotto/anno] </w:t>
            </w:r>
          </w:p>
        </w:tc>
        <w:tc>
          <w:tcPr>
            <w:tcW w:w="2835" w:type="dxa"/>
            <w:shd w:val="clear" w:color="auto" w:fill="auto"/>
          </w:tcPr>
          <w:p w14:paraId="5D6FD9D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27048BE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747820B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3F8BF9B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77F8281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0627CEAF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superiore a 0.</w:t>
            </w:r>
          </w:p>
          <w:p w14:paraId="4030C3A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C97FB0" w:rsidRPr="00C97FB0" w14:paraId="3450C289" w14:textId="77777777" w:rsidTr="00B309FE">
        <w:tc>
          <w:tcPr>
            <w:tcW w:w="4395" w:type="dxa"/>
            <w:shd w:val="clear" w:color="auto" w:fill="auto"/>
          </w:tcPr>
          <w:p w14:paraId="76049A3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299CB47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 xml:space="preserve">Air </w:t>
            </w:r>
            <w:proofErr w:type="spellStart"/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emissions</w:t>
            </w:r>
            <w:proofErr w:type="spellEnd"/>
          </w:p>
          <w:p w14:paraId="7BC4824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Emissioni in atmosfera dei seguenti parametri inquinanti: </w:t>
            </w:r>
            <w:proofErr w:type="spellStart"/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SO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x</w:t>
            </w:r>
            <w:proofErr w:type="spellEnd"/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, NO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x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, PM, 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3</w:t>
            </w:r>
          </w:p>
          <w:p w14:paraId="3CC62B4B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Ciascuno espresso in peso per unità di prodotto per anno</w:t>
            </w:r>
          </w:p>
          <w:p w14:paraId="1977A5E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[g/unità di prodotto/anno]</w:t>
            </w:r>
          </w:p>
        </w:tc>
        <w:tc>
          <w:tcPr>
            <w:tcW w:w="2835" w:type="dxa"/>
            <w:shd w:val="clear" w:color="auto" w:fill="auto"/>
          </w:tcPr>
          <w:p w14:paraId="1E24579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734169C3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2F834E3C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5B5D18F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1D933B9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34618F0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1DB8FFD3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5D3AF3EE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superiore a 0.</w:t>
            </w:r>
          </w:p>
          <w:p w14:paraId="39ACC6BB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C97FB0" w:rsidRPr="00C97FB0" w14:paraId="4197B3F7" w14:textId="77777777" w:rsidTr="00B309FE">
        <w:trPr>
          <w:trHeight w:val="1490"/>
        </w:trPr>
        <w:tc>
          <w:tcPr>
            <w:tcW w:w="4395" w:type="dxa"/>
            <w:shd w:val="clear" w:color="auto" w:fill="auto"/>
          </w:tcPr>
          <w:p w14:paraId="1943CA0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58A93FBC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Energy</w:t>
            </w:r>
          </w:p>
          <w:p w14:paraId="6FFEF20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Quantità di energia consumata per l’attività, espressa per unità di prodotto </w:t>
            </w:r>
          </w:p>
          <w:p w14:paraId="2298C60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[kWh/unità di prodotto]</w:t>
            </w:r>
          </w:p>
          <w:p w14:paraId="59F0A96B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0A0494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20284013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432EE87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799971E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0EB3FB3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9B96BB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4964F85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superiore a 0.</w:t>
            </w:r>
          </w:p>
        </w:tc>
      </w:tr>
      <w:tr w:rsidR="00C97FB0" w:rsidRPr="00C97FB0" w14:paraId="73ED8859" w14:textId="77777777" w:rsidTr="00B309FE">
        <w:trPr>
          <w:trHeight w:val="1343"/>
        </w:trPr>
        <w:tc>
          <w:tcPr>
            <w:tcW w:w="4395" w:type="dxa"/>
            <w:shd w:val="clear" w:color="auto" w:fill="auto"/>
          </w:tcPr>
          <w:p w14:paraId="372775B8" w14:textId="77777777" w:rsidR="008F3259" w:rsidRDefault="008F3259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6C7387B0" w14:textId="723D5D0B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</w:pPr>
            <w:proofErr w:type="spellStart"/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Renewables</w:t>
            </w:r>
            <w:proofErr w:type="spellEnd"/>
          </w:p>
          <w:p w14:paraId="2729537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Quota di energia da fonti rinnovabili prodotta e/o utilizzata, per anno</w:t>
            </w:r>
          </w:p>
          <w:p w14:paraId="2E676A90" w14:textId="26088D25" w:rsidR="00C97FB0" w:rsidRPr="00C97FB0" w:rsidRDefault="00C97FB0" w:rsidP="00C97FB0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[kWh/anno]</w:t>
            </w:r>
          </w:p>
        </w:tc>
        <w:tc>
          <w:tcPr>
            <w:tcW w:w="2835" w:type="dxa"/>
            <w:shd w:val="clear" w:color="auto" w:fill="auto"/>
          </w:tcPr>
          <w:p w14:paraId="506FDD4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6E887A6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04CDAA0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D03555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inferiore a 0.</w:t>
            </w:r>
          </w:p>
        </w:tc>
      </w:tr>
      <w:tr w:rsidR="00C97FB0" w:rsidRPr="00C97FB0" w14:paraId="56DDC85B" w14:textId="77777777" w:rsidTr="00B309FE">
        <w:tc>
          <w:tcPr>
            <w:tcW w:w="4395" w:type="dxa"/>
            <w:shd w:val="clear" w:color="auto" w:fill="auto"/>
          </w:tcPr>
          <w:p w14:paraId="7A94C2C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3802381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  <w:lang w:val="en-US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  <w:lang w:val="en-US"/>
              </w:rPr>
              <w:t>Circularity</w:t>
            </w:r>
          </w:p>
          <w:p w14:paraId="482DDF4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MCI - Material Circularity Index</w:t>
            </w:r>
          </w:p>
          <w:p w14:paraId="22DBB7B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OPPURE</w:t>
            </w:r>
          </w:p>
          <w:p w14:paraId="6223597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Indicatore alternativo di circolarità che caratterizza l’investimento quale ad esempio il risparmio di materia 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prima vergine e/o l’aumento di materia prima da riciclo per unità di prodotto, per anno</w:t>
            </w:r>
          </w:p>
          <w:p w14:paraId="012C2BB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69593C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0353D92C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42BF26B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A3D25BE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in caso di utilizzo di MCI, il valore non può essere superiore a 0. In caso di utilizzo di diverso indicatore di circolarità, specifico per l’attività e l’investimento, la differenza deve assicurare almeno un non peggioramento dell’indicatore di circolarità tra le due situazioni raffrontate.</w:t>
            </w:r>
          </w:p>
        </w:tc>
      </w:tr>
    </w:tbl>
    <w:p w14:paraId="59AE42FD" w14:textId="3A58E78B" w:rsidR="00C97FB0" w:rsidRDefault="00C97FB0" w:rsidP="00C97FB0">
      <w:pPr>
        <w:spacing w:before="120"/>
        <w:rPr>
          <w:rFonts w:cs="Arial"/>
          <w:i/>
          <w:sz w:val="21"/>
          <w:szCs w:val="21"/>
        </w:rPr>
        <w:sectPr w:rsidR="00C97FB0" w:rsidSect="00D46C79">
          <w:headerReference w:type="default" r:id="rId11"/>
          <w:footerReference w:type="default" r:id="rId12"/>
          <w:headerReference w:type="first" r:id="rId13"/>
          <w:pgSz w:w="16838" w:h="11906" w:orient="landscape" w:code="9"/>
          <w:pgMar w:top="839" w:right="2835" w:bottom="839" w:left="2098" w:header="839" w:footer="839" w:gutter="0"/>
          <w:cols w:space="708"/>
          <w:docGrid w:linePitch="360"/>
        </w:sectPr>
      </w:pPr>
    </w:p>
    <w:p w14:paraId="73811ADF" w14:textId="7922D040" w:rsidR="00372BF7" w:rsidRPr="004E24B4" w:rsidRDefault="00372BF7" w:rsidP="006022A1">
      <w:pPr>
        <w:spacing w:after="120" w:line="280" w:lineRule="exact"/>
        <w:rPr>
          <w:rFonts w:asciiTheme="minorHAnsi" w:hAnsiTheme="minorHAnsi" w:cstheme="minorHAnsi"/>
          <w:b/>
          <w:bCs/>
        </w:rPr>
      </w:pPr>
    </w:p>
    <w:sectPr w:rsidR="00372BF7" w:rsidRPr="004E24B4" w:rsidSect="00C97FB0"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8F48" w14:textId="77777777" w:rsidR="00675F73" w:rsidRDefault="00675F73" w:rsidP="00B602F4">
      <w:pPr>
        <w:spacing w:after="0" w:line="240" w:lineRule="auto"/>
      </w:pPr>
      <w:r>
        <w:separator/>
      </w:r>
    </w:p>
  </w:endnote>
  <w:endnote w:type="continuationSeparator" w:id="0">
    <w:p w14:paraId="02BC22F4" w14:textId="77777777" w:rsidR="00675F73" w:rsidRDefault="00675F73" w:rsidP="00B602F4">
      <w:pPr>
        <w:spacing w:after="0" w:line="240" w:lineRule="auto"/>
      </w:pPr>
      <w:r>
        <w:continuationSeparator/>
      </w:r>
    </w:p>
  </w:endnote>
  <w:endnote w:type="continuationNotice" w:id="1">
    <w:p w14:paraId="335BA808" w14:textId="77777777" w:rsidR="00675F73" w:rsidRDefault="00675F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6DF91" w14:textId="77777777" w:rsidR="00675F73" w:rsidRDefault="00675F73" w:rsidP="00B602F4">
      <w:pPr>
        <w:spacing w:after="0" w:line="240" w:lineRule="auto"/>
      </w:pPr>
      <w:r>
        <w:separator/>
      </w:r>
    </w:p>
  </w:footnote>
  <w:footnote w:type="continuationSeparator" w:id="0">
    <w:p w14:paraId="22EB47F9" w14:textId="77777777" w:rsidR="00675F73" w:rsidRDefault="00675F73" w:rsidP="00B602F4">
      <w:pPr>
        <w:spacing w:after="0" w:line="240" w:lineRule="auto"/>
      </w:pPr>
      <w:r>
        <w:continuationSeparator/>
      </w:r>
    </w:p>
  </w:footnote>
  <w:footnote w:type="continuationNotice" w:id="1">
    <w:p w14:paraId="0001D7DB" w14:textId="77777777" w:rsidR="00675F73" w:rsidRDefault="00675F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33A8D08C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6E555D81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052F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1E50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31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C7B79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7DF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27C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2A1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08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3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622E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0CC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DB6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2329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23</cp:revision>
  <cp:lastPrinted>2018-06-21T22:27:00Z</cp:lastPrinted>
  <dcterms:created xsi:type="dcterms:W3CDTF">2025-03-26T15:28:00Z</dcterms:created>
  <dcterms:modified xsi:type="dcterms:W3CDTF">2025-03-28T20:11:00Z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